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b/>
          <w:b/>
          <w:sz w:val="32"/>
          <w:szCs w:val="32"/>
        </w:rPr>
      </w:pPr>
      <w:r>
        <w:rPr>
          <w:rFonts w:cs="Times New Roman" w:ascii="Times New Roman" w:hAnsi="Times New Roman"/>
          <w:b/>
          <w:sz w:val="32"/>
          <w:szCs w:val="32"/>
        </w:rPr>
        <w:t>План подготовки к отопительному сезону 2026-2027гг.</w:t>
      </w:r>
    </w:p>
    <w:p>
      <w:pPr>
        <w:pStyle w:val="Normal"/>
        <w:spacing w:before="0" w:after="0"/>
        <w:jc w:val="center"/>
        <w:rPr>
          <w:rFonts w:ascii="Times New Roman" w:hAnsi="Times New Roman" w:cs="Times New Roman"/>
          <w:b/>
          <w:b/>
          <w:sz w:val="32"/>
          <w:szCs w:val="32"/>
        </w:rPr>
      </w:pPr>
      <w:r>
        <w:rPr>
          <w:rFonts w:cs="Times New Roman" w:ascii="Times New Roman" w:hAnsi="Times New Roman"/>
          <w:b/>
          <w:sz w:val="32"/>
          <w:szCs w:val="32"/>
        </w:rPr>
        <w:t>ООО «Буревестник»</w:t>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t>Настоящий план разработан в соответствии с требованиями:</w:t>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приказа Минэнерго России от 13.11.2024 N 2234;</w:t>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приказа Минэнерго России от 24 марта 2003 г. N 115;</w:t>
      </w:r>
    </w:p>
    <w:p>
      <w:pPr>
        <w:pStyle w:val="Normal"/>
        <w:spacing w:before="0" w:after="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Федерального закона от 27 июля 2010 г. N 190-ФЗ "О теплоснабжении"</w:t>
      </w:r>
    </w:p>
    <w:p>
      <w:pPr>
        <w:pStyle w:val="Normal"/>
        <w:jc w:val="center"/>
        <w:rPr>
          <w:rFonts w:ascii="Times New Roman" w:hAnsi="Times New Roman" w:cs="Times New Roman"/>
          <w:b/>
          <w:b/>
          <w:sz w:val="20"/>
          <w:szCs w:val="20"/>
        </w:rPr>
      </w:pPr>
      <w:r>
        <w:rPr>
          <w:rFonts w:cs="Times New Roman" w:ascii="Times New Roman" w:hAnsi="Times New Roman"/>
          <w:b/>
          <w:sz w:val="20"/>
          <w:szCs w:val="20"/>
        </w:rPr>
      </w:r>
    </w:p>
    <w:p>
      <w:pPr>
        <w:pStyle w:val="Normal"/>
        <w:widowControl/>
        <w:suppressAutoHyphens w:val="true"/>
        <w:bidi w:val="0"/>
        <w:spacing w:lineRule="auto" w:line="259" w:before="0" w:after="160"/>
        <w:ind w:left="-737" w:right="0" w:firstLine="680"/>
        <w:jc w:val="both"/>
        <w:rPr>
          <w:b w:val="false"/>
          <w:b w:val="false"/>
          <w:bCs w:val="false"/>
        </w:rPr>
      </w:pPr>
      <w:r>
        <w:rPr>
          <w:b w:val="false"/>
          <w:bCs w:val="false"/>
        </w:rPr>
        <w:tab/>
        <w:t>В отопительные периоды 2022-2023 гг., 2023-2024 гг., 2024-2025 гг., работа основного и вспомогательного энергооборудования предприятия осуществлялась в соответствии с установленными схемными, режимными и погодными условиями функционирования объектов теплоснабжения и их оборудования.</w:t>
      </w:r>
    </w:p>
    <w:p>
      <w:pPr>
        <w:pStyle w:val="Normal"/>
        <w:jc w:val="center"/>
        <w:rPr>
          <w:rFonts w:ascii="Times New Roman" w:hAnsi="Times New Roman" w:cs="Times New Roman"/>
          <w:b/>
          <w:b/>
        </w:rPr>
      </w:pPr>
      <w:r>
        <w:rPr>
          <w:rFonts w:cs="Times New Roman" w:ascii="Times New Roman" w:hAnsi="Times New Roman"/>
          <w:b/>
        </w:rPr>
        <w:t>Анализ прохождения трех прошлых отопительных периодов</w:t>
      </w:r>
    </w:p>
    <w:tbl>
      <w:tblPr>
        <w:tblStyle w:val="a3"/>
        <w:tblW w:w="10348" w:type="dxa"/>
        <w:jc w:val="left"/>
        <w:tblInd w:w="-601" w:type="dxa"/>
        <w:tblLayout w:type="fixed"/>
        <w:tblCellMar>
          <w:top w:w="0" w:type="dxa"/>
          <w:left w:w="108" w:type="dxa"/>
          <w:bottom w:w="0" w:type="dxa"/>
          <w:right w:w="108" w:type="dxa"/>
        </w:tblCellMar>
        <w:tblLook w:val="04a0"/>
      </w:tblPr>
      <w:tblGrid>
        <w:gridCol w:w="698"/>
        <w:gridCol w:w="7099"/>
        <w:gridCol w:w="2551"/>
      </w:tblGrid>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продолжительность отопительного периода</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дни</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2022-2023</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28.09.22-26.04.23</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2023-2024</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11.10.23-26.04.24</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15.10.24-07.05.25</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средняя температура наружного воздуха отопительного периода</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2022-2023</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2023-2024</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-1,6</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объем потребленной тепловой энергии в отопительный период (при наличии</w:t>
            </w:r>
          </w:p>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прибора учета)</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Гкал</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2022-2023</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24,235</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2023-2024</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23,698</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19,276</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Случаи размораживания внутренней системы отопления</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кол-во</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2022-2023</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2023-2024</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случаи аварий / дефектов внутренней системы отопления</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кол-во</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2022-2023</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2023-2024</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особенности функционирования объектов теплоснабжения и их оборудования в</w:t>
            </w:r>
          </w:p>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отопительный период</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Случаи перерывов в поставке теплоносителя</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кол-во</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2022-2023</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2023-2024</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Случаи нарушения температурного режима тепловой энергии</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кол-во</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2022-2023</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2023-2024</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случаи снижения температурного режима тепловой энергии</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кол-во</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2022-2023</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2023-2024</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Количество случаев перерасчета платы из-за снижения качества/параметров</w:t>
            </w:r>
          </w:p>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услуги отопления</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кол-во</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2022-2023</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2023-2024</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r>
        <w:trPr/>
        <w:tc>
          <w:tcPr>
            <w:tcW w:w="69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099"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2024-2025</w:t>
            </w:r>
          </w:p>
        </w:tc>
        <w:tc>
          <w:tcPr>
            <w:tcW w:w="255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0</w:t>
            </w:r>
          </w:p>
        </w:tc>
      </w:tr>
    </w:tbl>
    <w:p>
      <w:pPr>
        <w:pStyle w:val="Normal"/>
        <w:rPr>
          <w:rFonts w:ascii="Times New Roman" w:hAnsi="Times New Roman" w:cs="Times New Roman"/>
          <w:b/>
          <w:b/>
          <w:sz w:val="20"/>
          <w:szCs w:val="20"/>
        </w:rPr>
      </w:pPr>
      <w:r>
        <w:rPr>
          <w:rFonts w:cs="Times New Roman" w:ascii="Times New Roman" w:hAnsi="Times New Roman"/>
          <w:b/>
          <w:sz w:val="20"/>
          <w:szCs w:val="20"/>
        </w:rPr>
      </w:r>
    </w:p>
    <w:p>
      <w:pPr>
        <w:pStyle w:val="Normal"/>
        <w:rPr>
          <w:rFonts w:ascii="Times New Roman" w:hAnsi="Times New Roman" w:cs="Times New Roman"/>
          <w:b/>
          <w:b/>
          <w:sz w:val="20"/>
          <w:szCs w:val="20"/>
        </w:rPr>
      </w:pPr>
      <w:r>
        <w:rPr>
          <w:rFonts w:cs="Times New Roman" w:ascii="Times New Roman" w:hAnsi="Times New Roman"/>
          <w:b/>
          <w:sz w:val="20"/>
          <w:szCs w:val="20"/>
        </w:rPr>
      </w:r>
    </w:p>
    <w:p>
      <w:pPr>
        <w:pStyle w:val="Normal"/>
        <w:rPr>
          <w:rFonts w:ascii="Times New Roman" w:hAnsi="Times New Roman" w:cs="Times New Roman"/>
          <w:b/>
          <w:b/>
          <w:sz w:val="20"/>
          <w:szCs w:val="20"/>
        </w:rPr>
      </w:pPr>
      <w:r>
        <w:rPr>
          <w:rFonts w:cs="Times New Roman" w:ascii="Times New Roman" w:hAnsi="Times New Roman"/>
          <w:b/>
          <w:sz w:val="20"/>
          <w:szCs w:val="20"/>
        </w:rPr>
      </w:r>
    </w:p>
    <w:p>
      <w:pPr>
        <w:pStyle w:val="Normal"/>
        <w:rPr>
          <w:rFonts w:ascii="Times New Roman" w:hAnsi="Times New Roman" w:cs="Times New Roman"/>
          <w:b/>
          <w:b/>
          <w:sz w:val="20"/>
          <w:szCs w:val="20"/>
        </w:rPr>
      </w:pPr>
      <w:r>
        <w:rPr>
          <w:rFonts w:cs="Times New Roman" w:ascii="Times New Roman" w:hAnsi="Times New Roman"/>
          <w:b/>
          <w:sz w:val="20"/>
          <w:szCs w:val="20"/>
        </w:rPr>
      </w:r>
    </w:p>
    <w:p>
      <w:pPr>
        <w:pStyle w:val="Normal"/>
        <w:rPr>
          <w:rFonts w:ascii="Times New Roman" w:hAnsi="Times New Roman" w:cs="Times New Roman"/>
          <w:b/>
          <w:b/>
          <w:sz w:val="20"/>
          <w:szCs w:val="20"/>
        </w:rPr>
      </w:pPr>
      <w:r>
        <w:rPr>
          <w:rFonts w:cs="Times New Roman" w:ascii="Times New Roman" w:hAnsi="Times New Roman"/>
          <w:b/>
          <w:sz w:val="20"/>
          <w:szCs w:val="20"/>
        </w:rPr>
      </w:r>
    </w:p>
    <w:p>
      <w:pPr>
        <w:pStyle w:val="Normal"/>
        <w:rPr>
          <w:rFonts w:ascii="Times New Roman" w:hAnsi="Times New Roman" w:cs="Times New Roman"/>
          <w:b/>
          <w:b/>
          <w:sz w:val="20"/>
          <w:szCs w:val="20"/>
        </w:rPr>
      </w:pPr>
      <w:r>
        <w:rPr>
          <w:rFonts w:cs="Times New Roman" w:ascii="Times New Roman" w:hAnsi="Times New Roman"/>
          <w:b/>
          <w:sz w:val="20"/>
          <w:szCs w:val="20"/>
        </w:rPr>
      </w:r>
    </w:p>
    <w:p>
      <w:pPr>
        <w:pStyle w:val="Normal"/>
        <w:rPr>
          <w:rFonts w:ascii="Times New Roman" w:hAnsi="Times New Roman" w:cs="Times New Roman"/>
          <w:b/>
          <w:b/>
        </w:rPr>
      </w:pPr>
      <w:r>
        <w:rPr>
          <w:rFonts w:cs="Times New Roman" w:ascii="Times New Roman" w:hAnsi="Times New Roman"/>
          <w:b/>
        </w:rPr>
        <w:t>Организационные и технические мероприятия по подготовке к отопительному периоду</w:t>
      </w:r>
    </w:p>
    <w:tbl>
      <w:tblPr>
        <w:tblStyle w:val="a3"/>
        <w:tblW w:w="10059" w:type="dxa"/>
        <w:jc w:val="left"/>
        <w:tblInd w:w="-601" w:type="dxa"/>
        <w:tblLayout w:type="fixed"/>
        <w:tblCellMar>
          <w:top w:w="0" w:type="dxa"/>
          <w:left w:w="108" w:type="dxa"/>
          <w:bottom w:w="0" w:type="dxa"/>
          <w:right w:w="108" w:type="dxa"/>
        </w:tblCellMar>
        <w:tblLook w:val="04a0"/>
      </w:tblPr>
      <w:tblGrid>
        <w:gridCol w:w="695"/>
        <w:gridCol w:w="7974"/>
        <w:gridCol w:w="1390"/>
      </w:tblGrid>
      <w:tr>
        <w:trPr/>
        <w:tc>
          <w:tcPr>
            <w:tcW w:w="695"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974"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наименование мероприятий, работ</w:t>
            </w:r>
          </w:p>
        </w:tc>
        <w:tc>
          <w:tcPr>
            <w:tcW w:w="139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r>
      <w:tr>
        <w:trPr/>
        <w:tc>
          <w:tcPr>
            <w:tcW w:w="695"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w:t>
            </w:r>
          </w:p>
        </w:tc>
        <w:tc>
          <w:tcPr>
            <w:tcW w:w="797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Остановка системы отопления. Перекрытие головных вводов ЦТП 0402/012 стр. 6; 0408/009 стр. 38; 0408/077 стр. 32</w:t>
            </w:r>
          </w:p>
        </w:tc>
        <w:tc>
          <w:tcPr>
            <w:tcW w:w="139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май</w:t>
            </w:r>
          </w:p>
        </w:tc>
      </w:tr>
      <w:tr>
        <w:trPr/>
        <w:tc>
          <w:tcPr>
            <w:tcW w:w="695"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97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Перекрытие головных вводов в ТП строений.</w:t>
            </w:r>
          </w:p>
        </w:tc>
        <w:tc>
          <w:tcPr>
            <w:tcW w:w="139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май</w:t>
            </w:r>
          </w:p>
        </w:tc>
      </w:tr>
      <w:tr>
        <w:trPr/>
        <w:tc>
          <w:tcPr>
            <w:tcW w:w="695"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97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Опрессовка разводящих теплотрасс на промплощадке 12 атм</w:t>
            </w:r>
          </w:p>
        </w:tc>
        <w:tc>
          <w:tcPr>
            <w:tcW w:w="139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май- июнь</w:t>
            </w:r>
          </w:p>
        </w:tc>
      </w:tr>
      <w:tr>
        <w:trPr/>
        <w:tc>
          <w:tcPr>
            <w:tcW w:w="695"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97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Опрессовка головных вводов ЦТП 0402/012 стр. 6; 0408/009 стр. 38; 0408/077 стр. 32</w:t>
            </w:r>
          </w:p>
        </w:tc>
        <w:tc>
          <w:tcPr>
            <w:tcW w:w="139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июнь</w:t>
            </w:r>
          </w:p>
        </w:tc>
      </w:tr>
      <w:tr>
        <w:trPr/>
        <w:tc>
          <w:tcPr>
            <w:tcW w:w="695"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97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Замена манометров в ЦТП и строениях.</w:t>
            </w:r>
          </w:p>
        </w:tc>
        <w:tc>
          <w:tcPr>
            <w:tcW w:w="139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май -июнь</w:t>
            </w:r>
          </w:p>
        </w:tc>
      </w:tr>
      <w:tr>
        <w:trPr/>
        <w:tc>
          <w:tcPr>
            <w:tcW w:w="695"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974" w:type="dxa"/>
            <w:tcBorders>
              <w:top w:val="nil"/>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Опрессовка ЦТП 0412/012 стр. 6; 0408/009 стр. 38; 0408/077 стр. 32</w:t>
            </w:r>
          </w:p>
        </w:tc>
        <w:tc>
          <w:tcPr>
            <w:tcW w:w="1390"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июнь июль</w:t>
            </w:r>
          </w:p>
        </w:tc>
      </w:tr>
      <w:tr>
        <w:trPr/>
        <w:tc>
          <w:tcPr>
            <w:tcW w:w="695"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974"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Устранение возможных участков разгерметизации трубопроводов после опрессовки.</w:t>
            </w:r>
          </w:p>
        </w:tc>
        <w:tc>
          <w:tcPr>
            <w:tcW w:w="139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июнь- июль</w:t>
            </w:r>
          </w:p>
        </w:tc>
      </w:tr>
      <w:tr>
        <w:trPr/>
        <w:tc>
          <w:tcPr>
            <w:tcW w:w="695"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974" w:type="dxa"/>
            <w:tcBorders>
              <w:top w:val="nil"/>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Сдача представителю ПАО «МОЭК» опрессовки головных вводов и ЦТП 0412/012 стр. 6; 0408/009 стр. 38; 0408/077 стр. 32, разводящих теплотрасс.</w:t>
            </w:r>
          </w:p>
        </w:tc>
        <w:tc>
          <w:tcPr>
            <w:tcW w:w="1390"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июль</w:t>
            </w:r>
          </w:p>
        </w:tc>
      </w:tr>
      <w:tr>
        <w:trPr/>
        <w:tc>
          <w:tcPr>
            <w:tcW w:w="695"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974" w:type="dxa"/>
            <w:tcBorders>
              <w:top w:val="nil"/>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Проведение подготовки  к опрессовке строений. Опрессовка строений.</w:t>
            </w:r>
          </w:p>
        </w:tc>
        <w:tc>
          <w:tcPr>
            <w:tcW w:w="1390"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июль</w:t>
            </w:r>
          </w:p>
        </w:tc>
      </w:tr>
      <w:tr>
        <w:trPr/>
        <w:tc>
          <w:tcPr>
            <w:tcW w:w="695"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974" w:type="dxa"/>
            <w:tcBorders>
              <w:top w:val="nil"/>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Устранение разгерметизации труб и отопительных приборов в строениях. Замена запорной арматуры.</w:t>
            </w:r>
          </w:p>
        </w:tc>
        <w:tc>
          <w:tcPr>
            <w:tcW w:w="1390"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июль- август</w:t>
            </w:r>
          </w:p>
        </w:tc>
      </w:tr>
      <w:tr>
        <w:trPr/>
        <w:tc>
          <w:tcPr>
            <w:tcW w:w="695"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974" w:type="dxa"/>
            <w:tcBorders>
              <w:top w:val="nil"/>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Сдача представителю ПАО «МОЭК» опрессовки строений.</w:t>
            </w:r>
          </w:p>
        </w:tc>
        <w:tc>
          <w:tcPr>
            <w:tcW w:w="1390"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август</w:t>
            </w:r>
          </w:p>
        </w:tc>
      </w:tr>
      <w:tr>
        <w:trPr/>
        <w:tc>
          <w:tcPr>
            <w:tcW w:w="695"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974" w:type="dxa"/>
            <w:tcBorders>
              <w:top w:val="nil"/>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Промывка трубопроводов теплоснабжения (теплотрасс, систем отопления строений).</w:t>
            </w:r>
          </w:p>
        </w:tc>
        <w:tc>
          <w:tcPr>
            <w:tcW w:w="1390"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август</w:t>
            </w:r>
          </w:p>
        </w:tc>
      </w:tr>
      <w:tr>
        <w:trPr/>
        <w:tc>
          <w:tcPr>
            <w:tcW w:w="695"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974" w:type="dxa"/>
            <w:tcBorders>
              <w:top w:val="nil"/>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Заполнение теплосетевой водой систем отопления (ЦТП, теплотрасс, строений).</w:t>
            </w:r>
          </w:p>
        </w:tc>
        <w:tc>
          <w:tcPr>
            <w:tcW w:w="1390"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август</w:t>
            </w:r>
          </w:p>
        </w:tc>
      </w:tr>
      <w:tr>
        <w:trPr/>
        <w:tc>
          <w:tcPr>
            <w:tcW w:w="695"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2"/>
                <w:szCs w:val="20"/>
              </w:rPr>
            </w:r>
          </w:p>
        </w:tc>
        <w:tc>
          <w:tcPr>
            <w:tcW w:w="7974" w:type="dxa"/>
            <w:tcBorders>
              <w:top w:val="nil"/>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Взятие проб  воды на хим анализ в лаборатории ПАО «МОЭК».</w:t>
            </w:r>
          </w:p>
        </w:tc>
        <w:tc>
          <w:tcPr>
            <w:tcW w:w="1390" w:type="dxa"/>
            <w:tcBorders>
              <w:top w:val="nil"/>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август</w:t>
            </w:r>
          </w:p>
        </w:tc>
      </w:tr>
    </w:tbl>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Перечень документов, оформляемых в ходе подготовки к отопительному периоду</w:t>
      </w:r>
    </w:p>
    <w:tbl>
      <w:tblPr>
        <w:tblStyle w:val="a3"/>
        <w:tblW w:w="10059" w:type="dxa"/>
        <w:jc w:val="left"/>
        <w:tblInd w:w="-601" w:type="dxa"/>
        <w:tblLayout w:type="fixed"/>
        <w:tblCellMar>
          <w:top w:w="0" w:type="dxa"/>
          <w:left w:w="108" w:type="dxa"/>
          <w:bottom w:w="0" w:type="dxa"/>
          <w:right w:w="108" w:type="dxa"/>
        </w:tblCellMar>
        <w:tblLook w:val="04a0"/>
      </w:tblPr>
      <w:tblGrid>
        <w:gridCol w:w="560"/>
        <w:gridCol w:w="8023"/>
        <w:gridCol w:w="1476"/>
      </w:tblGrid>
      <w:tr>
        <w:trPr/>
        <w:tc>
          <w:tcPr>
            <w:tcW w:w="56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t>
            </w:r>
          </w:p>
        </w:tc>
        <w:tc>
          <w:tcPr>
            <w:tcW w:w="802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перечень документов</w:t>
            </w:r>
          </w:p>
        </w:tc>
        <w:tc>
          <w:tcPr>
            <w:tcW w:w="1476"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срок выполнения</w:t>
            </w:r>
          </w:p>
        </w:tc>
      </w:tr>
      <w:tr>
        <w:trPr/>
        <w:tc>
          <w:tcPr>
            <w:tcW w:w="560"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w:t>
            </w:r>
          </w:p>
        </w:tc>
        <w:tc>
          <w:tcPr>
            <w:tcW w:w="802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tc>
        <w:tc>
          <w:tcPr>
            <w:tcW w:w="1476"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 30.08.2025</w:t>
            </w:r>
          </w:p>
        </w:tc>
      </w:tr>
      <w:tr>
        <w:trPr/>
        <w:tc>
          <w:tcPr>
            <w:tcW w:w="560"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w:t>
            </w:r>
          </w:p>
        </w:tc>
        <w:tc>
          <w:tcPr>
            <w:tcW w:w="802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1476"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 20.08.2025</w:t>
            </w:r>
          </w:p>
        </w:tc>
      </w:tr>
      <w:tr>
        <w:trPr/>
        <w:tc>
          <w:tcPr>
            <w:tcW w:w="560"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w:t>
            </w:r>
          </w:p>
        </w:tc>
        <w:tc>
          <w:tcPr>
            <w:tcW w:w="802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476"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 20.08.2025</w:t>
            </w:r>
          </w:p>
        </w:tc>
      </w:tr>
      <w:tr>
        <w:trPr/>
        <w:tc>
          <w:tcPr>
            <w:tcW w:w="560"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w:t>
            </w:r>
          </w:p>
        </w:tc>
        <w:tc>
          <w:tcPr>
            <w:tcW w:w="8023"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получение паспорта готовности к отопительному периоду</w:t>
            </w:r>
          </w:p>
        </w:tc>
        <w:tc>
          <w:tcPr>
            <w:tcW w:w="1476"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 15.09.2025</w:t>
            </w:r>
          </w:p>
        </w:tc>
      </w:tr>
    </w:tbl>
    <w:p>
      <w:pPr>
        <w:pStyle w:val="Normal"/>
        <w:jc w:val="center"/>
        <w:rPr>
          <w:rFonts w:ascii="Times New Roman" w:hAnsi="Times New Roman" w:cs="Times New Roman"/>
          <w:b/>
          <w:b/>
          <w:sz w:val="20"/>
          <w:szCs w:val="20"/>
        </w:rPr>
      </w:pPr>
      <w:r>
        <w:rPr>
          <w:rFonts w:cs="Times New Roman" w:ascii="Times New Roman" w:hAnsi="Times New Roman"/>
          <w:b/>
          <w:sz w:val="20"/>
          <w:szCs w:val="20"/>
        </w:rPr>
      </w:r>
    </w:p>
    <w:p>
      <w:pPr>
        <w:pStyle w:val="Normal"/>
        <w:jc w:val="center"/>
        <w:rPr>
          <w:rFonts w:ascii="Times New Roman" w:hAnsi="Times New Roman" w:cs="Times New Roman"/>
          <w:b/>
          <w:b/>
          <w:sz w:val="20"/>
          <w:szCs w:val="20"/>
        </w:rPr>
      </w:pPr>
      <w:r>
        <w:rPr>
          <w:rFonts w:cs="Times New Roman" w:ascii="Times New Roman" w:hAnsi="Times New Roman"/>
          <w:b/>
          <w:sz w:val="24"/>
          <w:szCs w:val="24"/>
        </w:rPr>
        <w:t>Подготовка к отопительному периоду  ремонт теплотрассы</w:t>
      </w:r>
    </w:p>
    <w:tbl>
      <w:tblPr>
        <w:tblStyle w:val="a3"/>
        <w:tblW w:w="10059" w:type="dxa"/>
        <w:jc w:val="left"/>
        <w:tblInd w:w="-601" w:type="dxa"/>
        <w:tblLayout w:type="fixed"/>
        <w:tblCellMar>
          <w:top w:w="0" w:type="dxa"/>
          <w:left w:w="108" w:type="dxa"/>
          <w:bottom w:w="0" w:type="dxa"/>
          <w:right w:w="108" w:type="dxa"/>
        </w:tblCellMar>
        <w:tblLook w:val="04a0"/>
      </w:tblPr>
      <w:tblGrid>
        <w:gridCol w:w="560"/>
        <w:gridCol w:w="8023"/>
        <w:gridCol w:w="1476"/>
      </w:tblGrid>
      <w:tr>
        <w:trPr/>
        <w:tc>
          <w:tcPr>
            <w:tcW w:w="56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t>
            </w:r>
          </w:p>
        </w:tc>
        <w:tc>
          <w:tcPr>
            <w:tcW w:w="802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перечень мероприятий</w:t>
            </w:r>
          </w:p>
        </w:tc>
        <w:tc>
          <w:tcPr>
            <w:tcW w:w="1476"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срок выполнения</w:t>
            </w:r>
          </w:p>
        </w:tc>
      </w:tr>
      <w:tr>
        <w:trPr/>
        <w:tc>
          <w:tcPr>
            <w:tcW w:w="560"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w:t>
            </w:r>
          </w:p>
        </w:tc>
        <w:tc>
          <w:tcPr>
            <w:tcW w:w="8023" w:type="dxa"/>
            <w:tcBorders/>
          </w:tcPr>
          <w:p>
            <w:pPr>
              <w:pStyle w:val="Normal"/>
              <w:widowControl w:val="false"/>
              <w:suppressAutoHyphens w:val="true"/>
              <w:spacing w:lineRule="auto" w:line="240" w:before="0" w:after="0"/>
              <w:jc w:val="left"/>
              <w:rPr>
                <w:b w:val="false"/>
                <w:b w:val="false"/>
                <w:bCs w:val="false"/>
              </w:rPr>
            </w:pPr>
            <w:r>
              <w:rPr>
                <w:rFonts w:eastAsia="Calibri" w:cs="Times New Roman" w:ascii="Times New Roman" w:hAnsi="Times New Roman"/>
                <w:b w:val="false"/>
                <w:bCs w:val="false"/>
                <w:i w:val="false"/>
                <w:strike w:val="false"/>
                <w:dstrike w:val="false"/>
                <w:outline w:val="false"/>
                <w:shadow w:val="false"/>
                <w:color w:val="000000"/>
                <w:kern w:val="0"/>
                <w:sz w:val="20"/>
                <w:szCs w:val="20"/>
                <w:u w:val="none"/>
                <w:em w:val="none"/>
                <w:lang w:val="ru-RU" w:eastAsia="en-US" w:bidi="ar-SA"/>
              </w:rPr>
              <w:t xml:space="preserve"> </w:t>
            </w:r>
            <w:r>
              <w:rPr>
                <w:rFonts w:eastAsia="Calibri" w:cs="Times New Roman" w:ascii="Times New Roman" w:hAnsi="Times New Roman"/>
                <w:b w:val="false"/>
                <w:bCs w:val="false"/>
                <w:i w:val="false"/>
                <w:strike w:val="false"/>
                <w:dstrike w:val="false"/>
                <w:outline w:val="false"/>
                <w:shadow w:val="false"/>
                <w:color w:val="000000"/>
                <w:kern w:val="0"/>
                <w:sz w:val="20"/>
                <w:szCs w:val="20"/>
                <w:u w:val="none"/>
                <w:em w:val="none"/>
                <w:lang w:val="ru-RU" w:eastAsia="en-US" w:bidi="ar-SA"/>
              </w:rPr>
              <w:t>Теплоизоляция труб отопления ДУ 50 со стр.7 до проходной 1-я Владимирская</w:t>
            </w:r>
          </w:p>
        </w:tc>
        <w:tc>
          <w:tcPr>
            <w:tcW w:w="1476"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 30.08.2025</w:t>
            </w:r>
          </w:p>
        </w:tc>
      </w:tr>
      <w:tr>
        <w:trPr>
          <w:trHeight w:val="302" w:hRule="atLeast"/>
        </w:trPr>
        <w:tc>
          <w:tcPr>
            <w:tcW w:w="560"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w:t>
            </w:r>
          </w:p>
        </w:tc>
        <w:tc>
          <w:tcPr>
            <w:tcW w:w="8023" w:type="dxa"/>
            <w:tcBorders/>
          </w:tcPr>
          <w:p>
            <w:pPr>
              <w:pStyle w:val="Normal"/>
              <w:widowControl w:val="false"/>
              <w:suppressAutoHyphens w:val="true"/>
              <w:bidi w:val="0"/>
              <w:spacing w:lineRule="auto" w:line="259" w:before="0" w:after="160"/>
              <w:jc w:val="left"/>
              <w:rPr>
                <w:rFonts w:ascii="Times New Roman" w:hAnsi="Times New Roman" w:eastAsia="Calibri" w:cs="Times New Roman" w:eastAsiaTheme="minorHAnsi"/>
                <w:color w:val="auto"/>
                <w:kern w:val="0"/>
                <w:sz w:val="20"/>
                <w:szCs w:val="20"/>
                <w:lang w:val="ru-RU" w:eastAsia="en-US" w:bidi="ar-SA"/>
              </w:rPr>
            </w:pPr>
            <w:r>
              <w:rPr>
                <w:rFonts w:eastAsia="Calibri" w:cs="Times New Roman" w:ascii="Times New Roman" w:hAnsi="Times New Roman" w:eastAsiaTheme="minorHAnsi"/>
                <w:color w:val="auto"/>
                <w:kern w:val="0"/>
                <w:sz w:val="20"/>
                <w:szCs w:val="20"/>
                <w:lang w:val="ru-RU" w:eastAsia="en-US" w:bidi="ar-SA"/>
              </w:rPr>
              <w:t>Замена труб отопления в цеху с частичной теплоизоляцией</w:t>
            </w:r>
          </w:p>
        </w:tc>
        <w:tc>
          <w:tcPr>
            <w:tcW w:w="1476"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 30.08.2025</w:t>
            </w:r>
          </w:p>
        </w:tc>
      </w:tr>
      <w:tr>
        <w:trPr/>
        <w:tc>
          <w:tcPr>
            <w:tcW w:w="560"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w:t>
            </w:r>
          </w:p>
        </w:tc>
        <w:tc>
          <w:tcPr>
            <w:tcW w:w="8023" w:type="dxa"/>
            <w:tcBorders/>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Замена труб отопления Ду 200  на Ду 250 на эстакаде с теплоизоляцией</w:t>
            </w:r>
          </w:p>
        </w:tc>
        <w:tc>
          <w:tcPr>
            <w:tcW w:w="1476" w:type="dxa"/>
            <w:tcBorders/>
          </w:tcPr>
          <w:p>
            <w:pPr>
              <w:pStyle w:val="Normal"/>
              <w:widowControl w:val="false"/>
              <w:suppressAutoHyphens w:val="true"/>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 30.08.2025</w:t>
            </w:r>
          </w:p>
        </w:tc>
      </w:tr>
    </w:tbl>
    <w:p>
      <w:pPr>
        <w:pStyle w:val="Normal"/>
        <w:jc w:val="center"/>
        <w:rPr>
          <w:rFonts w:ascii="Times New Roman" w:hAnsi="Times New Roman" w:cs="Times New Roman"/>
          <w:b/>
          <w:b/>
          <w:sz w:val="32"/>
          <w:szCs w:val="32"/>
        </w:rPr>
      </w:pPr>
      <w:r>
        <w:rPr>
          <w:rFonts w:cs="Times New Roman" w:ascii="Times New Roman" w:hAnsi="Times New Roman"/>
          <w:b/>
          <w:sz w:val="32"/>
          <w:szCs w:val="32"/>
        </w:rPr>
      </w:r>
    </w:p>
    <w:p>
      <w:pPr>
        <w:pStyle w:val="Normal"/>
        <w:jc w:val="center"/>
        <w:rPr>
          <w:rFonts w:ascii="Times New Roman" w:hAnsi="Times New Roman" w:cs="Times New Roman"/>
          <w:b/>
          <w:b/>
          <w:sz w:val="32"/>
          <w:szCs w:val="32"/>
        </w:rPr>
      </w:pPr>
      <w:r>
        <w:rPr>
          <w:rFonts w:cs="Times New Roman" w:ascii="Times New Roman" w:hAnsi="Times New Roman"/>
          <w:b/>
          <w:sz w:val="32"/>
          <w:szCs w:val="32"/>
        </w:rPr>
      </w:r>
    </w:p>
    <w:p>
      <w:pPr>
        <w:pStyle w:val="Normal"/>
        <w:spacing w:before="0" w:after="160"/>
        <w:jc w:val="center"/>
        <w:rPr>
          <w:rFonts w:ascii="Times New Roman" w:hAnsi="Times New Roman" w:cs="Times New Roman"/>
          <w:b/>
          <w:b/>
          <w:sz w:val="32"/>
          <w:szCs w:val="32"/>
        </w:rPr>
      </w:pPr>
      <w:r>
        <w:rPr/>
      </w:r>
    </w:p>
    <w:sectPr>
      <w:type w:val="nextPage"/>
      <w:pgSz w:w="11906" w:h="16838"/>
      <w:pgMar w:left="1701" w:right="850" w:gutter="0" w:header="0" w:top="709"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Segoe UI">
    <w:charset w:val="01"/>
    <w:family w:val="roman"/>
    <w:pitch w:val="variable"/>
  </w:font>
  <w:font w:name="Open Sans">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91"/>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76794"/>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Hyperlink"/>
    <w:basedOn w:val="DefaultParagraphFont"/>
    <w:uiPriority w:val="99"/>
    <w:unhideWhenUsed/>
    <w:rsid w:val="003e759a"/>
    <w:rPr>
      <w:color w:val="0563C1" w:themeColor="hyperlink"/>
      <w:u w:val="single"/>
    </w:rPr>
  </w:style>
  <w:style w:type="character" w:styleId="Style15" w:customStyle="1">
    <w:name w:val="Текст выноски Знак"/>
    <w:basedOn w:val="DefaultParagraphFont"/>
    <w:link w:val="BalloonText"/>
    <w:uiPriority w:val="99"/>
    <w:semiHidden/>
    <w:qFormat/>
    <w:rsid w:val="00cf4219"/>
    <w:rPr>
      <w:rFonts w:ascii="Segoe UI" w:hAnsi="Segoe UI" w:cs="Segoe UI"/>
      <w:sz w:val="18"/>
      <w:szCs w:val="18"/>
    </w:rPr>
  </w:style>
  <w:style w:type="paragraph" w:styleId="Style16">
    <w:name w:val="Заголовок"/>
    <w:basedOn w:val="Normal"/>
    <w:next w:val="Style17"/>
    <w:qFormat/>
    <w:pPr>
      <w:keepNext w:val="true"/>
      <w:spacing w:before="240" w:after="120"/>
    </w:pPr>
    <w:rPr>
      <w:rFonts w:ascii="Open Sans" w:hAnsi="Open Sans" w:eastAsia="Tahoma"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BalloonText">
    <w:name w:val="Balloon Text"/>
    <w:basedOn w:val="Normal"/>
    <w:link w:val="Style15"/>
    <w:uiPriority w:val="99"/>
    <w:semiHidden/>
    <w:unhideWhenUsed/>
    <w:qFormat/>
    <w:rsid w:val="00cf4219"/>
    <w:pPr>
      <w:spacing w:lineRule="auto" w:line="240" w:before="0" w:after="0"/>
    </w:pPr>
    <w:rPr>
      <w:rFonts w:ascii="Segoe UI" w:hAnsi="Segoe UI" w:cs="Segoe UI"/>
      <w:sz w:val="18"/>
      <w:szCs w:val="18"/>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uiPriority w:val="39"/>
    <w:rsid w:val="000111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254</TotalTime>
  <Application>LibreOffice/7.4.2.3$Linux_X86_64 LibreOffice_project/40$Build-3</Application>
  <AppVersion>15.0000</AppVersion>
  <Pages>9</Pages>
  <Words>591</Words>
  <Characters>4093</Characters>
  <CharactersWithSpaces>4546</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2025-05-29T05:55:00Z</dcterms:created>
  <dc:creator>Пользователь</dc:creator>
  <dc:description/>
  <dc:language>ru-RU</dc:language>
  <cp:lastModifiedBy/>
  <cp:lastPrinted>2026-04-07T14:37:06Z</cp:lastPrinted>
  <dcterms:modified xsi:type="dcterms:W3CDTF">2026-04-08T09:44:50Z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